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35E2E">
      <w:pPr>
        <w:keepNext w:val="0"/>
        <w:keepLines w:val="0"/>
        <w:widowControl/>
        <w:suppressLineNumbers w:val="0"/>
        <w:spacing w:before="0" w:beforeAutospacing="1" w:after="0" w:afterAutospacing="1"/>
        <w:ind w:left="0" w:right="0"/>
        <w:jc w:val="left"/>
        <w:rPr>
          <w:rFonts w:hint="eastAsia" w:ascii="仿宋" w:hAnsi="仿宋" w:eastAsia="仿宋" w:cs="仿宋"/>
          <w:kern w:val="2"/>
          <w:sz w:val="32"/>
          <w:szCs w:val="32"/>
          <w:highlight w:val="none"/>
          <w:lang w:val="en-US" w:eastAsia="zh-CN" w:bidi="ar"/>
        </w:rPr>
      </w:pPr>
      <w:r>
        <w:rPr>
          <w:rFonts w:hint="eastAsia" w:ascii="仿宋" w:hAnsi="仿宋" w:eastAsia="仿宋" w:cs="仿宋"/>
          <w:kern w:val="2"/>
          <w:sz w:val="32"/>
          <w:szCs w:val="32"/>
          <w:highlight w:val="none"/>
          <w:lang w:val="en-US" w:eastAsia="zh-CN" w:bidi="ar"/>
        </w:rPr>
        <w:t>附近3，模板：（仅供参考）</w:t>
      </w:r>
    </w:p>
    <w:p w14:paraId="30FD0D0D">
      <w:pPr>
        <w:keepNext w:val="0"/>
        <w:keepLines w:val="0"/>
        <w:widowControl w:val="0"/>
        <w:suppressLineNumbers w:val="0"/>
        <w:adjustRightInd w:val="0"/>
        <w:spacing w:before="0" w:beforeAutospacing="1" w:after="0" w:afterAutospacing="1" w:line="560" w:lineRule="exact"/>
        <w:ind w:left="0" w:right="0" w:rightChars="0" w:firstLine="1320" w:firstLineChars="300"/>
        <w:jc w:val="both"/>
        <w:rPr>
          <w:sz w:val="21"/>
          <w:szCs w:val="21"/>
          <w:highlight w:val="none"/>
        </w:rPr>
      </w:pPr>
      <w:r>
        <w:rPr>
          <w:rFonts w:hint="eastAsia" w:ascii="方正小标宋_GBK" w:hAnsi="方正小标宋_GBK" w:eastAsia="方正小标宋_GBK" w:cs="方正小标宋_GBK"/>
          <w:kern w:val="2"/>
          <w:sz w:val="44"/>
          <w:szCs w:val="44"/>
          <w:highlight w:val="none"/>
          <w:u w:val="single"/>
          <w:lang w:val="en-US" w:eastAsia="zh-CN" w:bidi="ar"/>
        </w:rPr>
        <w:t xml:space="preserve">                    </w:t>
      </w:r>
      <w:r>
        <w:rPr>
          <w:rFonts w:hint="eastAsia" w:ascii="方正小标宋_GBK" w:hAnsi="方正小标宋_GBK" w:eastAsia="方正小标宋_GBK" w:cs="方正小标宋_GBK"/>
          <w:kern w:val="2"/>
          <w:sz w:val="44"/>
          <w:szCs w:val="44"/>
          <w:highlight w:val="none"/>
          <w:lang w:val="en-US" w:eastAsia="zh-CN" w:bidi="ar"/>
        </w:rPr>
        <w:t>出租方案</w:t>
      </w:r>
    </w:p>
    <w:p w14:paraId="34E0BC89">
      <w:pPr>
        <w:keepNext w:val="0"/>
        <w:keepLines w:val="0"/>
        <w:widowControl/>
        <w:suppressLineNumbers w:val="0"/>
        <w:spacing w:before="0" w:beforeAutospacing="1" w:after="0" w:afterAutospacing="1"/>
        <w:ind w:left="0" w:right="0"/>
        <w:jc w:val="left"/>
        <w:rPr>
          <w:sz w:val="21"/>
          <w:szCs w:val="21"/>
          <w:highlight w:val="none"/>
        </w:rPr>
      </w:pPr>
      <w:r>
        <w:rPr>
          <w:rFonts w:hint="default" w:ascii="仿宋_GB2312" w:eastAsia="仿宋_GB2312" w:cs="仿宋_GB2312" w:hAnsiTheme="minorHAnsi"/>
          <w:b/>
          <w:bCs/>
          <w:kern w:val="2"/>
          <w:sz w:val="32"/>
          <w:szCs w:val="32"/>
          <w:highlight w:val="none"/>
          <w:lang w:val="en-US" w:eastAsia="zh-CN" w:bidi="ar"/>
        </w:rPr>
        <w:t xml:space="preserve"> </w:t>
      </w:r>
    </w:p>
    <w:p w14:paraId="6FA8E9A9">
      <w:pPr>
        <w:keepNext w:val="0"/>
        <w:keepLines w:val="0"/>
        <w:widowControl w:val="0"/>
        <w:suppressLineNumbers w:val="0"/>
        <w:spacing w:before="0" w:beforeAutospacing="1" w:after="0" w:afterAutospacing="1" w:line="460" w:lineRule="exact"/>
        <w:ind w:left="0" w:right="0" w:firstLine="640" w:firstLineChars="200"/>
        <w:jc w:val="left"/>
        <w:rPr>
          <w:rFonts w:hint="eastAsia" w:ascii="黑体" w:hAnsi="黑体" w:eastAsia="黑体" w:cs="黑体"/>
          <w:b w:val="0"/>
          <w:bCs w:val="0"/>
          <w:sz w:val="21"/>
          <w:szCs w:val="21"/>
          <w:highlight w:val="none"/>
        </w:rPr>
      </w:pPr>
      <w:bookmarkStart w:id="0" w:name="_GoBack"/>
      <w:r>
        <w:rPr>
          <w:rFonts w:hint="eastAsia" w:ascii="黑体" w:hAnsi="黑体" w:eastAsia="黑体" w:cs="黑体"/>
          <w:b w:val="0"/>
          <w:bCs w:val="0"/>
          <w:kern w:val="2"/>
          <w:sz w:val="32"/>
          <w:szCs w:val="32"/>
          <w:highlight w:val="none"/>
          <w:lang w:val="en-US" w:eastAsia="zh-CN" w:bidi="ar"/>
        </w:rPr>
        <w:t>一、出租资产的概况</w:t>
      </w:r>
    </w:p>
    <w:bookmarkEnd w:id="0"/>
    <w:p w14:paraId="3D8C48E7">
      <w:pPr>
        <w:keepNext w:val="0"/>
        <w:keepLines w:val="0"/>
        <w:widowControl w:val="0"/>
        <w:suppressLineNumbers w:val="0"/>
        <w:spacing w:before="0" w:beforeAutospacing="1" w:after="0" w:afterAutospacing="1"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（一）出租资产的基本情况（现状、范围、数量、规格、型号等）：</w:t>
      </w:r>
    </w:p>
    <w:p w14:paraId="58E1ECEF">
      <w:pPr>
        <w:keepNext w:val="0"/>
        <w:keepLines w:val="0"/>
        <w:widowControl w:val="0"/>
        <w:suppressLineNumbers w:val="0"/>
        <w:spacing w:before="0" w:beforeAutospacing="1" w:after="0" w:afterAutospacing="1"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 xml:space="preserve"> </w:t>
      </w:r>
    </w:p>
    <w:p w14:paraId="29186344">
      <w:pPr>
        <w:keepNext w:val="0"/>
        <w:keepLines w:val="0"/>
        <w:widowControl w:val="0"/>
        <w:suppressLineNumbers w:val="0"/>
        <w:spacing w:before="0" w:beforeAutospacing="1" w:after="0" w:afterAutospacing="1"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 xml:space="preserve">（二）租赁资产用途： </w:t>
      </w:r>
    </w:p>
    <w:p w14:paraId="2B54C361">
      <w:pPr>
        <w:keepNext w:val="0"/>
        <w:keepLines w:val="0"/>
        <w:widowControl w:val="0"/>
        <w:suppressLineNumbers w:val="0"/>
        <w:spacing w:before="0" w:beforeAutospacing="1" w:after="0" w:afterAutospacing="1" w:line="460" w:lineRule="exact"/>
        <w:ind w:left="0" w:right="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 xml:space="preserve"> </w:t>
      </w:r>
    </w:p>
    <w:p w14:paraId="7EF78626">
      <w:pPr>
        <w:keepNext w:val="0"/>
        <w:keepLines w:val="0"/>
        <w:widowControl w:val="0"/>
        <w:suppressLineNumbers w:val="0"/>
        <w:spacing w:before="0" w:beforeAutospacing="1" w:after="0" w:afterAutospacing="1" w:line="460" w:lineRule="exact"/>
        <w:ind w:left="0" w:right="0" w:firstLine="643"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kern w:val="2"/>
          <w:sz w:val="32"/>
          <w:szCs w:val="32"/>
          <w:highlight w:val="none"/>
          <w:lang w:val="en-US" w:eastAsia="zh-CN" w:bidi="ar"/>
        </w:rPr>
        <w:t xml:space="preserve"> </w:t>
      </w:r>
    </w:p>
    <w:p w14:paraId="19C0CCF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黑体" w:hAnsi="黑体" w:eastAsia="黑体" w:cs="黑体"/>
          <w:b w:val="0"/>
          <w:bCs w:val="0"/>
          <w:sz w:val="21"/>
          <w:szCs w:val="21"/>
          <w:highlight w:val="none"/>
        </w:rPr>
      </w:pPr>
      <w:r>
        <w:rPr>
          <w:rFonts w:hint="eastAsia" w:ascii="黑体" w:hAnsi="黑体" w:eastAsia="黑体" w:cs="黑体"/>
          <w:b w:val="0"/>
          <w:bCs w:val="0"/>
          <w:kern w:val="2"/>
          <w:sz w:val="32"/>
          <w:szCs w:val="32"/>
          <w:highlight w:val="none"/>
          <w:lang w:val="en-US" w:eastAsia="zh-CN" w:bidi="ar"/>
        </w:rPr>
        <w:t>二、出租期限、标的基本情况、租金支付方式等</w:t>
      </w:r>
    </w:p>
    <w:p w14:paraId="0875B2A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（一）</w:t>
      </w:r>
      <w:r>
        <w:rPr>
          <w:rFonts w:hint="eastAsia" w:ascii="方正仿宋_GBK" w:hAnsi="方正仿宋_GBK" w:eastAsia="方正仿宋_GBK" w:cs="方正仿宋_GBK"/>
          <w:bCs/>
          <w:kern w:val="2"/>
          <w:sz w:val="32"/>
          <w:szCs w:val="32"/>
          <w:highlight w:val="none"/>
          <w:shd w:val="clear" w:fill="FFFFFF"/>
          <w:lang w:val="en-US" w:eastAsia="zh-CN" w:bidi="ar"/>
        </w:rPr>
        <w:t>本项目</w:t>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   </w:t>
      </w:r>
      <w:r>
        <w:rPr>
          <w:rFonts w:hint="eastAsia" w:ascii="方正仿宋_GBK" w:hAnsi="方正仿宋_GBK" w:eastAsia="方正仿宋_GBK" w:cs="方正仿宋_GBK"/>
          <w:bCs/>
          <w:kern w:val="2"/>
          <w:sz w:val="32"/>
          <w:szCs w:val="32"/>
          <w:highlight w:val="none"/>
          <w:shd w:val="clear" w:fill="FFFFFF"/>
          <w:lang w:val="en-US" w:eastAsia="zh-CN" w:bidi="ar"/>
        </w:rPr>
        <w:t>（有/无）优先承租权人，优先承租权人名称是：</w:t>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                  </w:t>
      </w:r>
      <w:r>
        <w:rPr>
          <w:rFonts w:hint="eastAsia" w:ascii="方正仿宋_GBK" w:hAnsi="方正仿宋_GBK" w:eastAsia="方正仿宋_GBK" w:cs="方正仿宋_GBK"/>
          <w:bCs/>
          <w:kern w:val="2"/>
          <w:sz w:val="32"/>
          <w:szCs w:val="32"/>
          <w:highlight w:val="none"/>
          <w:shd w:val="clear" w:fill="FFFFFF"/>
          <w:lang w:val="en-US" w:eastAsia="zh-CN" w:bidi="ar"/>
        </w:rPr>
        <w:t>；租赁方式：</w:t>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 </w:t>
      </w:r>
      <w:r>
        <w:rPr>
          <w:rFonts w:hint="eastAsia" w:ascii="方正仿宋_GBK" w:hAnsi="方正仿宋_GBK" w:eastAsia="方正仿宋_GBK" w:cs="方正仿宋_GBK"/>
          <w:bCs/>
          <w:kern w:val="2"/>
          <w:sz w:val="32"/>
          <w:szCs w:val="32"/>
          <w:highlight w:val="none"/>
          <w:u w:val="single"/>
          <w:shd w:val="clear" w:fill="FFFFFF"/>
          <w:lang w:val="en-US" w:eastAsia="zh-CN" w:bidi="ar"/>
        </w:rPr>
        <w:sym w:font="Wingdings" w:char="00A8"/>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拍卖 </w:t>
      </w:r>
      <w:r>
        <w:rPr>
          <w:rFonts w:hint="eastAsia" w:ascii="方正仿宋_GBK" w:hAnsi="方正仿宋_GBK" w:eastAsia="方正仿宋_GBK" w:cs="方正仿宋_GBK"/>
          <w:bCs/>
          <w:kern w:val="2"/>
          <w:sz w:val="32"/>
          <w:szCs w:val="32"/>
          <w:highlight w:val="none"/>
          <w:u w:val="single"/>
          <w:shd w:val="clear" w:fill="FFFFFF"/>
          <w:lang w:val="en-US" w:eastAsia="zh-CN" w:bidi="ar"/>
        </w:rPr>
        <w:sym w:font="Wingdings" w:char="00A8"/>
      </w:r>
      <w:r>
        <w:rPr>
          <w:rFonts w:hint="eastAsia" w:ascii="方正仿宋_GBK" w:hAnsi="方正仿宋_GBK" w:eastAsia="方正仿宋_GBK" w:cs="方正仿宋_GBK"/>
          <w:bCs/>
          <w:kern w:val="2"/>
          <w:sz w:val="32"/>
          <w:szCs w:val="32"/>
          <w:highlight w:val="none"/>
          <w:u w:val="single"/>
          <w:shd w:val="clear" w:fill="FFFFFF"/>
          <w:lang w:val="en-US" w:eastAsia="zh-CN" w:bidi="ar"/>
        </w:rPr>
        <w:t xml:space="preserve">网络竞价 </w:t>
      </w:r>
      <w:r>
        <w:rPr>
          <w:rFonts w:hint="eastAsia" w:ascii="方正仿宋_GBK" w:hAnsi="方正仿宋_GBK" w:eastAsia="方正仿宋_GBK" w:cs="方正仿宋_GBK"/>
          <w:bCs/>
          <w:kern w:val="2"/>
          <w:sz w:val="32"/>
          <w:szCs w:val="32"/>
          <w:highlight w:val="none"/>
          <w:u w:val="single"/>
          <w:shd w:val="clear" w:fill="FFFFFF"/>
          <w:lang w:val="en-US" w:eastAsia="zh-CN" w:bidi="ar"/>
        </w:rPr>
        <w:sym w:font="Wingdings" w:char="00A8"/>
      </w:r>
      <w:r>
        <w:rPr>
          <w:rFonts w:hint="eastAsia" w:ascii="方正仿宋_GBK" w:hAnsi="方正仿宋_GBK" w:eastAsia="方正仿宋_GBK" w:cs="方正仿宋_GBK"/>
          <w:bCs/>
          <w:kern w:val="2"/>
          <w:sz w:val="32"/>
          <w:szCs w:val="32"/>
          <w:highlight w:val="none"/>
          <w:u w:val="single"/>
          <w:shd w:val="clear" w:fill="FFFFFF"/>
          <w:lang w:val="en-US" w:eastAsia="zh-CN" w:bidi="ar"/>
        </w:rPr>
        <w:t>公开招标</w:t>
      </w:r>
      <w:r>
        <w:rPr>
          <w:rFonts w:hint="eastAsia" w:ascii="方正仿宋_GBK" w:hAnsi="方正仿宋_GBK" w:eastAsia="方正仿宋_GBK" w:cs="方正仿宋_GBK"/>
          <w:bCs/>
          <w:kern w:val="2"/>
          <w:sz w:val="32"/>
          <w:szCs w:val="32"/>
          <w:highlight w:val="none"/>
          <w:u w:val="none"/>
          <w:shd w:val="clear" w:fill="FFFFFF"/>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租赁期：</w:t>
      </w:r>
      <w:r>
        <w:rPr>
          <w:rFonts w:hint="eastAsia" w:ascii="方正仿宋_GBK" w:hAnsi="方正仿宋_GBK" w:eastAsia="方正仿宋_GBK" w:cs="方正仿宋_GBK"/>
          <w:bCs/>
          <w:color w:val="000000"/>
          <w:kern w:val="2"/>
          <w:sz w:val="32"/>
          <w:szCs w:val="32"/>
          <w:highlight w:val="none"/>
          <w:u w:val="single"/>
          <w:shd w:val="clear" w:fill="FFFFFF"/>
          <w:lang w:val="en-US" w:eastAsia="zh-CN" w:bidi="ar"/>
        </w:rPr>
        <w:t xml:space="preserve">      </w:t>
      </w:r>
      <w:r>
        <w:rPr>
          <w:rFonts w:hint="eastAsia" w:ascii="方正仿宋_GBK" w:hAnsi="方正仿宋_GBK" w:eastAsia="方正仿宋_GBK" w:cs="方正仿宋_GBK"/>
          <w:bCs/>
          <w:color w:val="000000"/>
          <w:kern w:val="2"/>
          <w:sz w:val="32"/>
          <w:szCs w:val="32"/>
          <w:highlight w:val="none"/>
          <w:shd w:val="clear" w:fill="FFFFFF"/>
          <w:lang w:val="en-US" w:eastAsia="zh-CN" w:bidi="ar"/>
        </w:rPr>
        <w:t>年。</w:t>
      </w:r>
    </w:p>
    <w:p w14:paraId="7B4F8B0A">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（二）标的基本情况表：</w:t>
      </w:r>
    </w:p>
    <w:tbl>
      <w:tblPr>
        <w:tblStyle w:val="3"/>
        <w:tblW w:w="9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03"/>
        <w:gridCol w:w="2347"/>
        <w:gridCol w:w="2193"/>
        <w:gridCol w:w="1202"/>
        <w:gridCol w:w="1188"/>
        <w:gridCol w:w="1050"/>
        <w:gridCol w:w="1049"/>
      </w:tblGrid>
      <w:tr w14:paraId="23ABB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0"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0C583CD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序号</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6AF6DF5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标的名称</w:t>
            </w:r>
          </w:p>
        </w:tc>
        <w:tc>
          <w:tcPr>
            <w:tcW w:w="2193" w:type="dxa"/>
            <w:tcBorders>
              <w:top w:val="single" w:color="auto" w:sz="4" w:space="0"/>
              <w:left w:val="single" w:color="auto" w:sz="4" w:space="0"/>
              <w:bottom w:val="single" w:color="auto" w:sz="4" w:space="0"/>
              <w:right w:val="single" w:color="auto" w:sz="4" w:space="0"/>
            </w:tcBorders>
            <w:shd w:val="clear" w:color="auto" w:fill="auto"/>
            <w:vAlign w:val="center"/>
          </w:tcPr>
          <w:p w14:paraId="2105E3EC">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现状、范围、数量、规格、型号等</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29DAB63">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租金底价（万元/年）</w:t>
            </w:r>
          </w:p>
        </w:tc>
        <w:tc>
          <w:tcPr>
            <w:tcW w:w="1188" w:type="dxa"/>
            <w:tcBorders>
              <w:top w:val="single" w:color="auto" w:sz="4" w:space="0"/>
              <w:left w:val="single" w:color="auto" w:sz="4" w:space="0"/>
              <w:bottom w:val="single" w:color="auto" w:sz="4" w:space="0"/>
              <w:right w:val="single" w:color="auto" w:sz="4" w:space="0"/>
            </w:tcBorders>
            <w:shd w:val="clear" w:color="auto" w:fill="auto"/>
            <w:vAlign w:val="center"/>
          </w:tcPr>
          <w:p w14:paraId="316B2EF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交易保证金（万元）</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770A352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履约保证金（万元）</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19A759C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增价幅度（万元）</w:t>
            </w:r>
          </w:p>
        </w:tc>
      </w:tr>
      <w:tr w14:paraId="5FFB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4F0F8D4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1</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73DDBA5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2193" w:type="dxa"/>
            <w:tcBorders>
              <w:top w:val="single" w:color="auto" w:sz="4" w:space="0"/>
              <w:left w:val="single" w:color="auto" w:sz="4" w:space="0"/>
              <w:bottom w:val="single" w:color="auto" w:sz="4" w:space="0"/>
              <w:right w:val="single" w:color="auto" w:sz="4" w:space="0"/>
            </w:tcBorders>
            <w:shd w:val="clear" w:color="auto" w:fill="auto"/>
            <w:vAlign w:val="center"/>
          </w:tcPr>
          <w:p w14:paraId="2E77BC16">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 </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1907DA49">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188" w:type="dxa"/>
            <w:tcBorders>
              <w:top w:val="single" w:color="auto" w:sz="4" w:space="0"/>
              <w:left w:val="single" w:color="auto" w:sz="4" w:space="0"/>
              <w:bottom w:val="single" w:color="auto" w:sz="4" w:space="0"/>
              <w:right w:val="single" w:color="auto" w:sz="4" w:space="0"/>
            </w:tcBorders>
            <w:shd w:val="clear" w:color="auto" w:fill="auto"/>
            <w:vAlign w:val="center"/>
          </w:tcPr>
          <w:p w14:paraId="0AA9C8B0">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5E7CC244">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281CC415">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r>
      <w:tr w14:paraId="0C439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903" w:type="dxa"/>
            <w:tcBorders>
              <w:top w:val="single" w:color="auto" w:sz="4" w:space="0"/>
              <w:left w:val="single" w:color="auto" w:sz="4" w:space="0"/>
              <w:bottom w:val="single" w:color="auto" w:sz="4" w:space="0"/>
              <w:right w:val="single" w:color="auto" w:sz="4" w:space="0"/>
            </w:tcBorders>
            <w:shd w:val="clear" w:color="auto" w:fill="auto"/>
            <w:vAlign w:val="center"/>
          </w:tcPr>
          <w:p w14:paraId="307A229E">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2</w:t>
            </w:r>
          </w:p>
        </w:tc>
        <w:tc>
          <w:tcPr>
            <w:tcW w:w="2347" w:type="dxa"/>
            <w:tcBorders>
              <w:top w:val="single" w:color="auto" w:sz="4" w:space="0"/>
              <w:left w:val="single" w:color="auto" w:sz="4" w:space="0"/>
              <w:bottom w:val="single" w:color="auto" w:sz="4" w:space="0"/>
              <w:right w:val="single" w:color="auto" w:sz="4" w:space="0"/>
            </w:tcBorders>
            <w:shd w:val="clear" w:color="auto" w:fill="auto"/>
            <w:vAlign w:val="center"/>
          </w:tcPr>
          <w:p w14:paraId="7C6B773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2193" w:type="dxa"/>
            <w:tcBorders>
              <w:top w:val="single" w:color="auto" w:sz="4" w:space="0"/>
              <w:left w:val="single" w:color="auto" w:sz="4" w:space="0"/>
              <w:bottom w:val="single" w:color="auto" w:sz="4" w:space="0"/>
              <w:right w:val="single" w:color="auto" w:sz="4" w:space="0"/>
            </w:tcBorders>
            <w:shd w:val="clear" w:color="auto" w:fill="auto"/>
            <w:vAlign w:val="center"/>
          </w:tcPr>
          <w:p w14:paraId="44C61CCD">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b/>
                <w:bCs/>
                <w:i w:val="0"/>
                <w:color w:val="000000"/>
                <w:kern w:val="0"/>
                <w:sz w:val="20"/>
                <w:szCs w:val="20"/>
                <w:highlight w:val="none"/>
                <w:lang w:val="en-US" w:eastAsia="zh-CN" w:bidi="ar"/>
              </w:rPr>
              <w:t> </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7581AF7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188" w:type="dxa"/>
            <w:tcBorders>
              <w:top w:val="single" w:color="auto" w:sz="4" w:space="0"/>
              <w:left w:val="single" w:color="auto" w:sz="4" w:space="0"/>
              <w:bottom w:val="single" w:color="auto" w:sz="4" w:space="0"/>
              <w:right w:val="single" w:color="auto" w:sz="4" w:space="0"/>
            </w:tcBorders>
            <w:shd w:val="clear" w:color="auto" w:fill="auto"/>
            <w:vAlign w:val="center"/>
          </w:tcPr>
          <w:p w14:paraId="5488B04B">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4F6DDC7F">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14:paraId="04EA4531">
            <w:pPr>
              <w:keepNext w:val="0"/>
              <w:keepLines w:val="0"/>
              <w:pageBreakBefore w:val="0"/>
              <w:widowControl/>
              <w:suppressLineNumbers w:val="0"/>
              <w:kinsoku/>
              <w:wordWrap/>
              <w:overflowPunct/>
              <w:topLinePunct w:val="0"/>
              <w:autoSpaceDE/>
              <w:autoSpaceDN/>
              <w:bidi w:val="0"/>
              <w:adjustRightInd/>
              <w:spacing w:before="0" w:beforeAutospacing="0" w:after="0" w:afterAutospacing="0"/>
              <w:ind w:left="0" w:right="0"/>
              <w:jc w:val="center"/>
              <w:textAlignment w:val="center"/>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i w:val="0"/>
                <w:color w:val="000000"/>
                <w:kern w:val="0"/>
                <w:sz w:val="20"/>
                <w:szCs w:val="20"/>
                <w:highlight w:val="none"/>
                <w:lang w:val="en-US" w:eastAsia="zh-CN" w:bidi="ar"/>
              </w:rPr>
              <w:t> </w:t>
            </w:r>
          </w:p>
        </w:tc>
      </w:tr>
    </w:tbl>
    <w:p w14:paraId="5B910229">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（三）租金支付方式：承租方按照“先支付，后使用”的原则，租金每</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个月支付一次，（如有递增，从合同生效第二年起，每年以</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递增率增收租金。）</w:t>
      </w:r>
    </w:p>
    <w:p w14:paraId="62652F0B">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（四）租赁履约保证金的支付及结算：承租方应向出租方交付履约保证金</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万元，并按租赁合同约定期限交清。合同终止后，承租方无任何责任，出租方应返还履约保证金。</w:t>
      </w:r>
    </w:p>
    <w:p w14:paraId="2E10A6C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60" w:lineRule="exact"/>
        <w:ind w:left="0" w:right="0" w:firstLine="640" w:firstLineChars="200"/>
        <w:jc w:val="left"/>
        <w:textAlignment w:val="auto"/>
        <w:rPr>
          <w:rFonts w:hint="eastAsia" w:ascii="黑体" w:hAnsi="黑体" w:eastAsia="黑体" w:cs="黑体"/>
          <w:b w:val="0"/>
          <w:bCs w:val="0"/>
          <w:sz w:val="21"/>
          <w:szCs w:val="21"/>
          <w:highlight w:val="none"/>
        </w:rPr>
      </w:pPr>
      <w:r>
        <w:rPr>
          <w:rFonts w:hint="eastAsia" w:ascii="黑体" w:hAnsi="黑体" w:eastAsia="黑体" w:cs="黑体"/>
          <w:b w:val="0"/>
          <w:bCs w:val="0"/>
          <w:kern w:val="2"/>
          <w:sz w:val="32"/>
          <w:szCs w:val="32"/>
          <w:highlight w:val="none"/>
          <w:lang w:val="en-US" w:eastAsia="zh-CN" w:bidi="ar"/>
        </w:rPr>
        <w:t>三、资产租赁的要求</w:t>
      </w:r>
    </w:p>
    <w:p w14:paraId="5B6143F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60" w:lineRule="exact"/>
        <w:ind w:left="0" w:right="0" w:firstLine="640" w:firstLineChars="200"/>
        <w:jc w:val="left"/>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（一）意向承租方主体资格要求：意向承租方应为中华人民共和国境内依法设立的企业法人或具有完全行为能力的自然人。</w:t>
      </w:r>
    </w:p>
    <w:p w14:paraId="2BED3D7C">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二）本次资产出租所列示的标的现状、范围、数量、规格、型号仅作参考，以实际勘查现场了解的情况和移交资产为准，实际移交资产与本公告所列示无明显不符的，不调整成交价格。出租资产之外的建筑物、附属物（如道路、绿化、空地、停车场等）均不在出租范围内，委托方不提供任何承诺及服务。承租方应同意按现状交接并开展相关租赁经营活动，并承担相应的物业费用（包含：水、电、暖、税费、消防、垃圾清运、保洁、综合治理费等各项费用）。</w:t>
      </w:r>
    </w:p>
    <w:p w14:paraId="5FD5521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（三）租赁用途：</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。承租方的经营范围必须符合中华人民共和国及新疆维吾尔自治区的法律规定。依法须经批准的项目，经相关部门批准后方可开展经营活动。</w:t>
      </w:r>
      <w:r>
        <w:rPr>
          <w:rFonts w:hint="eastAsia" w:ascii="方正仿宋_GBK" w:hAnsi="方正仿宋_GBK" w:eastAsia="方正仿宋_GBK" w:cs="方正仿宋_GBK"/>
          <w:b/>
          <w:bCs/>
          <w:kern w:val="2"/>
          <w:sz w:val="32"/>
          <w:szCs w:val="32"/>
          <w:highlight w:val="none"/>
          <w:lang w:val="en-US" w:eastAsia="zh-CN" w:bidi="ar"/>
        </w:rPr>
        <w:t>不允许经营</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等项目。</w:t>
      </w:r>
    </w:p>
    <w:p w14:paraId="79BBBE18">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（四）租赁物的交付及验收：租赁资产情况以交接时的《资产移交清单》为准，并作为出租方交付给承租方经营管理使用和承租方交还时的验收依据，经双方签章后生效。</w:t>
      </w:r>
    </w:p>
    <w:p w14:paraId="008E6347">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（五）租赁物的维护与修缮：承租方应合理使用租赁资产，并做好日常维护与修缮工作，一切费用由承租方自行承担。</w:t>
      </w:r>
    </w:p>
    <w:p w14:paraId="5D1C1C25">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（六）租赁物的收回及验收：承租方应在租赁合同终止或解除后</w:t>
      </w:r>
      <w:r>
        <w:rPr>
          <w:rFonts w:hint="eastAsia" w:ascii="方正仿宋_GBK" w:hAnsi="方正仿宋_GBK" w:eastAsia="方正仿宋_GBK" w:cs="方正仿宋_GBK"/>
          <w:kern w:val="2"/>
          <w:sz w:val="32"/>
          <w:szCs w:val="32"/>
          <w:highlight w:val="none"/>
          <w:u w:val="single"/>
          <w:lang w:val="en-US" w:eastAsia="zh-CN" w:bidi="ar"/>
        </w:rPr>
        <w:t xml:space="preserve">    </w:t>
      </w:r>
      <w:r>
        <w:rPr>
          <w:rFonts w:hint="eastAsia" w:ascii="方正仿宋_GBK" w:hAnsi="方正仿宋_GBK" w:eastAsia="方正仿宋_GBK" w:cs="方正仿宋_GBK"/>
          <w:kern w:val="2"/>
          <w:sz w:val="32"/>
          <w:szCs w:val="32"/>
          <w:highlight w:val="none"/>
          <w:lang w:val="en-US" w:eastAsia="zh-CN" w:bidi="ar"/>
        </w:rPr>
        <w:t>个工作日内将承租的资产交还出租方，并保持完好状态，保证能正常使用。出租方依据租赁时签订的《资产移交清单》及租赁合同收回及验收。</w:t>
      </w:r>
    </w:p>
    <w:p w14:paraId="371AADD6">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（八）出租方的其他权利和义务：出租方有权检查并督促承租方按照国家现行法律法规的规定和双方约定使用租赁物；承租方因经营等原因需要出租方出具租赁资产的权属证明文件，出租方有义务出具。</w:t>
      </w:r>
    </w:p>
    <w:p w14:paraId="041D15A1">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460" w:lineRule="exact"/>
        <w:ind w:left="0" w:right="0" w:firstLine="640" w:firstLineChars="200"/>
        <w:jc w:val="left"/>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kern w:val="2"/>
          <w:sz w:val="32"/>
          <w:szCs w:val="32"/>
          <w:highlight w:val="none"/>
          <w:lang w:val="en-US" w:eastAsia="zh-CN" w:bidi="ar"/>
        </w:rPr>
        <w:t xml:space="preserve">（九）承租方的其他权利和义务：承租方应自行办理相关证照且承担全部费用；未经出租方书面同意，不得将租赁物转租、转借他人使用；应遵纪守法，不得利用所租赁资产进行非法活动；应按有关部门规定做好所承租资产的防火安全、门前三包、综合治理等工作，承担安全生产、用电、用气、防火防盗等事故责任，并对因事故等因素给出租方及其他善意第三方等所造成的经济损失负赔偿责任；不得占用公用面积或在公共区域内随意摆放物品；租赁期满有意继续承租的，应于租赁期届满 </w:t>
      </w:r>
      <w:r>
        <w:rPr>
          <w:rFonts w:hint="eastAsia" w:ascii="方正仿宋_GBK" w:hAnsi="方正仿宋_GBK" w:eastAsia="方正仿宋_GBK" w:cs="方正仿宋_GBK"/>
          <w:kern w:val="2"/>
          <w:sz w:val="32"/>
          <w:szCs w:val="32"/>
          <w:highlight w:val="none"/>
          <w:u w:val="single"/>
          <w:lang w:val="en-US" w:eastAsia="zh-CN" w:bidi="ar"/>
        </w:rPr>
        <w:t>30</w:t>
      </w:r>
      <w:r>
        <w:rPr>
          <w:rFonts w:hint="eastAsia" w:ascii="方正仿宋_GBK" w:hAnsi="方正仿宋_GBK" w:eastAsia="方正仿宋_GBK" w:cs="方正仿宋_GBK"/>
          <w:kern w:val="2"/>
          <w:sz w:val="32"/>
          <w:szCs w:val="32"/>
          <w:highlight w:val="none"/>
          <w:lang w:val="en-US" w:eastAsia="zh-CN" w:bidi="ar"/>
        </w:rPr>
        <w:t>日前书面通知出租方，经出租方同意，方可享有优先承租权。</w:t>
      </w:r>
      <w:r>
        <w:rPr>
          <w:rFonts w:hint="eastAsia" w:ascii="方正仿宋_GBK" w:hAnsi="方正仿宋_GBK" w:eastAsia="方正仿宋_GBK" w:cs="方正仿宋_GBK"/>
          <w:b/>
          <w:bCs/>
          <w:kern w:val="2"/>
          <w:sz w:val="32"/>
          <w:szCs w:val="32"/>
          <w:highlight w:val="none"/>
          <w:lang w:val="en-US" w:eastAsia="zh-CN" w:bidi="ar"/>
        </w:rPr>
        <w:t xml:space="preserve"> </w:t>
      </w:r>
    </w:p>
    <w:p w14:paraId="219069C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319" w:leftChars="152" w:right="0" w:firstLine="320" w:firstLineChars="100"/>
        <w:jc w:val="both"/>
        <w:textAlignment w:val="auto"/>
        <w:rPr>
          <w:rFonts w:hint="eastAsia" w:ascii="黑体" w:hAnsi="黑体" w:eastAsia="黑体" w:cs="黑体"/>
          <w:b w:val="0"/>
          <w:bCs w:val="0"/>
          <w:kern w:val="2"/>
          <w:sz w:val="32"/>
          <w:szCs w:val="32"/>
          <w:highlight w:val="none"/>
          <w:lang w:val="en-US" w:eastAsia="zh-CN" w:bidi="ar-SA"/>
        </w:rPr>
      </w:pPr>
      <w:r>
        <w:rPr>
          <w:rFonts w:hint="eastAsia" w:ascii="黑体" w:hAnsi="黑体" w:eastAsia="黑体" w:cs="黑体"/>
          <w:b w:val="0"/>
          <w:bCs w:val="0"/>
          <w:kern w:val="2"/>
          <w:sz w:val="32"/>
          <w:szCs w:val="32"/>
          <w:highlight w:val="none"/>
          <w:lang w:val="en-US" w:eastAsia="zh-CN" w:bidi="ar-SA"/>
        </w:rPr>
        <w:t>四、资产展示安排</w:t>
      </w:r>
    </w:p>
    <w:p w14:paraId="6DBD5F3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K" w:hAnsi="方正仿宋_GBK" w:eastAsia="方正仿宋_GBK" w:cs="方正仿宋_GBK"/>
          <w:sz w:val="21"/>
          <w:szCs w:val="21"/>
          <w:highlight w:val="none"/>
        </w:rPr>
      </w:pPr>
      <w:r>
        <w:rPr>
          <w:rFonts w:hint="eastAsia" w:ascii="方正仿宋_GBK" w:hAnsi="方正仿宋_GBK" w:eastAsia="方正仿宋_GBK" w:cs="方正仿宋_GBK"/>
          <w:sz w:val="32"/>
          <w:szCs w:val="32"/>
          <w:highlight w:val="none"/>
          <w:lang w:val="en-US" w:eastAsia="zh-CN"/>
        </w:rPr>
        <w:t>意向承租人应在交易公告期截止前现场踏勘出租标的（联系人：</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lang w:val="en-US" w:eastAsia="zh-CN"/>
        </w:rPr>
        <w:t xml:space="preserve"> ，电话：</w:t>
      </w:r>
      <w:r>
        <w:rPr>
          <w:rFonts w:hint="eastAsia" w:ascii="方正仿宋_GBK" w:hAnsi="方正仿宋_GBK" w:eastAsia="方正仿宋_GBK" w:cs="方正仿宋_GBK"/>
          <w:sz w:val="32"/>
          <w:szCs w:val="32"/>
          <w:highlight w:val="none"/>
          <w:u w:val="single"/>
          <w:lang w:val="en-US" w:eastAsia="zh-CN"/>
        </w:rPr>
        <w:t xml:space="preserve">           </w:t>
      </w:r>
      <w:r>
        <w:rPr>
          <w:rFonts w:hint="eastAsia" w:ascii="方正仿宋_GBK" w:hAnsi="方正仿宋_GBK" w:eastAsia="方正仿宋_GBK" w:cs="方正仿宋_GBK"/>
          <w:sz w:val="32"/>
          <w:szCs w:val="32"/>
          <w:highlight w:val="none"/>
          <w:lang w:val="en-US" w:eastAsia="zh-CN"/>
        </w:rPr>
        <w:t xml:space="preserve"> ），了解标的权属关系、存在的瑕疵和可能涉及的相关法律法规及政策变化带来的后果风险。</w:t>
      </w:r>
    </w:p>
    <w:p w14:paraId="45016FA5">
      <w:pPr>
        <w:keepNext w:val="0"/>
        <w:keepLines w:val="0"/>
        <w:pageBreakBefore w:val="0"/>
        <w:widowControl w:val="0"/>
        <w:kinsoku/>
        <w:wordWrap/>
        <w:overflowPunct/>
        <w:topLinePunct w:val="0"/>
        <w:autoSpaceDE/>
        <w:autoSpaceDN/>
        <w:bidi w:val="0"/>
        <w:spacing w:line="520" w:lineRule="exact"/>
        <w:ind w:right="0" w:rightChars="0" w:firstLine="640" w:firstLineChars="200"/>
        <w:textAlignment w:val="auto"/>
        <w:outlineLvl w:val="9"/>
        <w:rPr>
          <w:rFonts w:hint="eastAsia" w:ascii="方正仿宋_GBK" w:hAnsi="方正仿宋_GBK" w:eastAsia="方正仿宋_GBK" w:cs="方正仿宋_GBK"/>
          <w:b/>
          <w:bCs w:val="0"/>
          <w:sz w:val="32"/>
          <w:szCs w:val="32"/>
          <w:highlight w:val="none"/>
          <w:shd w:val="clear" w:color="auto" w:fill="FFFFFF"/>
          <w:lang w:val="en-US" w:eastAsia="zh-CN"/>
        </w:rPr>
      </w:pPr>
      <w:r>
        <w:rPr>
          <w:rFonts w:hint="eastAsia" w:ascii="黑体" w:hAnsi="黑体" w:eastAsia="黑体" w:cs="黑体"/>
          <w:b w:val="0"/>
          <w:bCs/>
          <w:color w:val="auto"/>
          <w:sz w:val="32"/>
          <w:szCs w:val="32"/>
          <w:highlight w:val="none"/>
          <w:shd w:val="clear" w:color="auto" w:fill="FFFFFF"/>
          <w:lang w:val="en-US" w:eastAsia="zh-CN"/>
        </w:rPr>
        <w:t>五、</w:t>
      </w:r>
      <w:r>
        <w:rPr>
          <w:rFonts w:hint="eastAsia" w:ascii="黑体" w:hAnsi="黑体" w:eastAsia="黑体" w:cs="黑体"/>
          <w:b w:val="0"/>
          <w:bCs/>
          <w:sz w:val="32"/>
          <w:szCs w:val="32"/>
          <w:highlight w:val="none"/>
          <w:shd w:val="clear" w:color="auto" w:fill="FFFFFF"/>
        </w:rPr>
        <w:t>保证金</w:t>
      </w:r>
      <w:r>
        <w:rPr>
          <w:rFonts w:hint="eastAsia" w:ascii="黑体" w:hAnsi="黑体" w:eastAsia="黑体" w:cs="黑体"/>
          <w:b w:val="0"/>
          <w:bCs/>
          <w:sz w:val="32"/>
          <w:szCs w:val="32"/>
          <w:highlight w:val="none"/>
          <w:shd w:val="clear" w:color="auto" w:fill="FFFFFF"/>
          <w:lang w:val="en-US" w:eastAsia="zh-CN"/>
        </w:rPr>
        <w:t>的缴纳与处置</w:t>
      </w:r>
    </w:p>
    <w:p w14:paraId="34350D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需在成交之日起40日内提供出租方和</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签章的《资产租赁合同》及相关退款资料，交易保证金原路退还给</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或抵扣价款，40日内未提供的，</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缴纳的保证金交易中心可原路退还至</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账户，若</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未履行相关约定，出租方需书面函告交易中心暂不退款，待争议解决后办理保证金退款事宜。其他意向承租人的交易保证金在拍卖成交之日起5个工作日内按原途径无息退还。</w:t>
      </w:r>
    </w:p>
    <w:p w14:paraId="7CE6B9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出现下列情形之一的，取消意向承租人或承租人资格，交易保证金不予退还，并将其列入失信联合惩戒名单，视为意向承租人或承租人同意并授权交易中心将全额交易保证金作为违约金转至出租方账户，由出租方支付交易服务费、拍卖佣金等费用。因此造成经济损失意向承租人或</w:t>
      </w:r>
      <w:r>
        <w:rPr>
          <w:rFonts w:hint="eastAsia" w:ascii="方正仿宋_GBK" w:hAnsi="方正仿宋_GBK" w:eastAsia="方正仿宋_GBK" w:cs="方正仿宋_GBK"/>
          <w:sz w:val="32"/>
          <w:szCs w:val="32"/>
          <w:highlight w:val="none"/>
          <w:lang w:val="en-US" w:eastAsia="zh-CN"/>
        </w:rPr>
        <w:t>承租人</w:t>
      </w:r>
      <w:r>
        <w:rPr>
          <w:rFonts w:hint="eastAsia" w:ascii="方正仿宋_GBK" w:hAnsi="方正仿宋_GBK" w:eastAsia="方正仿宋_GBK" w:cs="方正仿宋_GBK"/>
          <w:kern w:val="2"/>
          <w:sz w:val="32"/>
          <w:szCs w:val="32"/>
          <w:highlight w:val="none"/>
          <w:lang w:val="en-US" w:eastAsia="zh-CN" w:bidi="ar-SA"/>
        </w:rPr>
        <w:t>还应承担相应赔偿责任，出租方有权不再签订合同或解除合同，构成犯罪的依照相关法律处理，由此产生的一切纠纷与法律责任由意向承租人或承租</w:t>
      </w:r>
      <w:r>
        <w:rPr>
          <w:rFonts w:hint="eastAsia" w:ascii="方正仿宋_GBK" w:hAnsi="方正仿宋_GBK" w:eastAsia="方正仿宋_GBK" w:cs="方正仿宋_GBK"/>
          <w:sz w:val="32"/>
          <w:szCs w:val="32"/>
          <w:highlight w:val="none"/>
          <w:lang w:val="en-US" w:eastAsia="zh-CN"/>
        </w:rPr>
        <w:t>人</w:t>
      </w:r>
      <w:r>
        <w:rPr>
          <w:rFonts w:hint="eastAsia" w:ascii="方正仿宋_GBK" w:hAnsi="方正仿宋_GBK" w:eastAsia="方正仿宋_GBK" w:cs="方正仿宋_GBK"/>
          <w:kern w:val="2"/>
          <w:sz w:val="32"/>
          <w:szCs w:val="32"/>
          <w:highlight w:val="none"/>
          <w:lang w:val="en-US" w:eastAsia="zh-CN" w:bidi="ar-SA"/>
        </w:rPr>
        <w:t>承担，与交易中心无关：</w:t>
      </w:r>
    </w:p>
    <w:p w14:paraId="46AB4F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（1）提供虚假材料、骗取成交资格或实现其他非法目的；</w:t>
      </w:r>
    </w:p>
    <w:p w14:paraId="4D23F1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（2）恶意串通压低报价的；</w:t>
      </w:r>
    </w:p>
    <w:p w14:paraId="51AA2A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（3）采取不正当手段影响和干扰其他意向承租人参与交易活动的；</w:t>
      </w:r>
    </w:p>
    <w:p w14:paraId="0A4E5D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（4）承租人无正当理由放弃成交资格的；</w:t>
      </w:r>
    </w:p>
    <w:p w14:paraId="1C9169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（5）承租人无正当理由拒绝签订《成交确认书》或《资产租赁合同》的；</w:t>
      </w:r>
    </w:p>
    <w:p w14:paraId="495A56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（6）承租人未按约定缴纳成交价款、交易服务费等的；</w:t>
      </w:r>
    </w:p>
    <w:p w14:paraId="5C471D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方正仿宋_GBK" w:hAnsi="方正仿宋_GBK" w:eastAsia="方正仿宋_GBK" w:cs="方正仿宋_GBK"/>
          <w:kern w:val="2"/>
          <w:sz w:val="32"/>
          <w:szCs w:val="32"/>
          <w:highlight w:val="none"/>
          <w:lang w:val="en-US" w:eastAsia="zh-CN" w:bidi="ar-SA"/>
        </w:rPr>
      </w:pPr>
      <w:r>
        <w:rPr>
          <w:rFonts w:hint="eastAsia" w:ascii="方正仿宋_GBK" w:hAnsi="方正仿宋_GBK" w:eastAsia="方正仿宋_GBK" w:cs="方正仿宋_GBK"/>
          <w:kern w:val="2"/>
          <w:sz w:val="32"/>
          <w:szCs w:val="32"/>
          <w:highlight w:val="none"/>
          <w:lang w:val="en-US" w:eastAsia="zh-CN" w:bidi="ar-SA"/>
        </w:rPr>
        <w:t>（7）法律法规规定的其他违约情形。</w:t>
      </w:r>
    </w:p>
    <w:p w14:paraId="57D10466">
      <w:pPr>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textAlignment w:val="auto"/>
        <w:outlineLvl w:val="9"/>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kern w:val="2"/>
          <w:sz w:val="32"/>
          <w:szCs w:val="32"/>
          <w:highlight w:val="none"/>
          <w:lang w:val="en-US" w:eastAsia="zh-CN" w:bidi="ar-SA"/>
        </w:rPr>
        <w:t>3.承租人违约的，除交易保证金不予退还外，出租方有权将拍卖标的再次拍卖，再次拍卖的价款低于原拍卖价格的，原承租人应当补足差额。原承租人缴纳的交易保证金不足以支付上述费用的，出租方保留依法追偿的权利。如</w:t>
      </w:r>
      <w:r>
        <w:rPr>
          <w:rFonts w:hint="eastAsia" w:ascii="方正仿宋_GBK" w:hAnsi="方正仿宋_GBK" w:eastAsia="方正仿宋_GBK" w:cs="方正仿宋_GBK"/>
          <w:sz w:val="32"/>
          <w:szCs w:val="32"/>
          <w:highlight w:val="none"/>
          <w:lang w:val="en-US" w:eastAsia="zh-CN"/>
        </w:rPr>
        <w:t>交易中心主张上述费用的成本，包括但不限于诉讼费、律师费、差旅费等由</w:t>
      </w:r>
      <w:r>
        <w:rPr>
          <w:rFonts w:hint="eastAsia" w:ascii="方正仿宋_GBK" w:hAnsi="方正仿宋_GBK" w:eastAsia="方正仿宋_GBK" w:cs="方正仿宋_GBK"/>
          <w:kern w:val="2"/>
          <w:sz w:val="32"/>
          <w:szCs w:val="32"/>
          <w:highlight w:val="none"/>
          <w:lang w:val="en-US" w:eastAsia="zh-CN" w:bidi="ar-SA"/>
        </w:rPr>
        <w:t>原承租人</w:t>
      </w:r>
      <w:r>
        <w:rPr>
          <w:rFonts w:hint="eastAsia" w:ascii="方正仿宋_GBK" w:hAnsi="方正仿宋_GBK" w:eastAsia="方正仿宋_GBK" w:cs="方正仿宋_GBK"/>
          <w:sz w:val="32"/>
          <w:szCs w:val="32"/>
          <w:highlight w:val="none"/>
          <w:lang w:val="en-US" w:eastAsia="zh-CN"/>
        </w:rPr>
        <w:t>承担。仍不足以弥补交易中心、出租方实际损失的，还应当承担不足部分的赔偿责任。且出租方有权解除合同，收回出租标的。</w:t>
      </w:r>
    </w:p>
    <w:p w14:paraId="3B6635F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480" w:lineRule="exact"/>
        <w:ind w:right="0" w:firstLine="643" w:firstLineChars="200"/>
        <w:jc w:val="left"/>
        <w:rPr>
          <w:rFonts w:hint="eastAsia" w:ascii="方正仿宋_GBK" w:hAnsi="方正仿宋_GBK" w:eastAsia="方正仿宋_GBK" w:cs="方正仿宋_GBK"/>
          <w:kern w:val="2"/>
          <w:sz w:val="32"/>
          <w:szCs w:val="32"/>
          <w:highlight w:val="none"/>
          <w:lang w:val="en-US" w:eastAsia="zh-CN" w:bidi="ar"/>
        </w:rPr>
      </w:pPr>
      <w:r>
        <w:rPr>
          <w:rFonts w:hint="eastAsia" w:ascii="方正仿宋_GBK" w:hAnsi="方正仿宋_GBK" w:eastAsia="方正仿宋_GBK" w:cs="方正仿宋_GBK"/>
          <w:b/>
          <w:bCs/>
          <w:sz w:val="32"/>
          <w:szCs w:val="32"/>
          <w:highlight w:val="none"/>
          <w:lang w:val="en-US" w:eastAsia="zh-CN"/>
        </w:rPr>
        <w:t>六</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kern w:val="2"/>
          <w:sz w:val="32"/>
          <w:szCs w:val="32"/>
          <w:highlight w:val="none"/>
          <w:lang w:val="en-US" w:eastAsia="zh-CN" w:bidi="ar"/>
        </w:rPr>
        <w:t>承租人</w:t>
      </w:r>
      <w:r>
        <w:rPr>
          <w:rFonts w:hint="eastAsia" w:ascii="方正仿宋_GBK" w:hAnsi="方正仿宋_GBK" w:eastAsia="方正仿宋_GBK" w:cs="方正仿宋_GBK"/>
          <w:bCs/>
          <w:sz w:val="32"/>
          <w:szCs w:val="32"/>
          <w:highlight w:val="none"/>
          <w:shd w:val="clear" w:color="auto" w:fill="FFFFFF"/>
        </w:rPr>
        <w:t>应在获得最终确认之日起</w:t>
      </w:r>
      <w:r>
        <w:rPr>
          <w:rFonts w:hint="eastAsia" w:ascii="方正仿宋_GBK" w:hAnsi="方正仿宋_GBK" w:eastAsia="方正仿宋_GBK" w:cs="方正仿宋_GBK"/>
          <w:bCs/>
          <w:sz w:val="32"/>
          <w:szCs w:val="32"/>
          <w:highlight w:val="none"/>
          <w:u w:val="single"/>
          <w:shd w:val="clear" w:color="auto" w:fill="FFFFFF"/>
          <w:lang w:val="en-US" w:eastAsia="zh-CN"/>
        </w:rPr>
        <w:t>5</w:t>
      </w:r>
      <w:r>
        <w:rPr>
          <w:rFonts w:hint="eastAsia" w:ascii="方正仿宋_GBK" w:hAnsi="方正仿宋_GBK" w:eastAsia="方正仿宋_GBK" w:cs="方正仿宋_GBK"/>
          <w:bCs/>
          <w:sz w:val="32"/>
          <w:szCs w:val="32"/>
          <w:highlight w:val="none"/>
          <w:shd w:val="clear" w:color="auto" w:fill="FFFFFF"/>
        </w:rPr>
        <w:t>个工作日</w:t>
      </w:r>
      <w:r>
        <w:rPr>
          <w:rFonts w:hint="eastAsia" w:ascii="方正仿宋_GBK" w:hAnsi="方正仿宋_GBK" w:eastAsia="方正仿宋_GBK" w:cs="方正仿宋_GBK"/>
          <w:bCs/>
          <w:sz w:val="32"/>
          <w:szCs w:val="32"/>
          <w:highlight w:val="none"/>
          <w:shd w:val="clear" w:color="auto" w:fill="FFFFFF"/>
          <w:lang w:eastAsia="zh-CN"/>
        </w:rPr>
        <w:t>内</w:t>
      </w:r>
      <w:r>
        <w:rPr>
          <w:rFonts w:hint="eastAsia" w:ascii="方正仿宋_GBK" w:hAnsi="方正仿宋_GBK" w:eastAsia="方正仿宋_GBK" w:cs="方正仿宋_GBK"/>
          <w:bCs/>
          <w:sz w:val="32"/>
          <w:szCs w:val="32"/>
          <w:highlight w:val="none"/>
          <w:shd w:val="clear" w:color="auto" w:fill="FFFFFF"/>
        </w:rPr>
        <w:t>与出租方签署《</w:t>
      </w:r>
      <w:r>
        <w:rPr>
          <w:rFonts w:hint="eastAsia" w:ascii="方正仿宋_GBK" w:hAnsi="方正仿宋_GBK" w:eastAsia="方正仿宋_GBK" w:cs="方正仿宋_GBK"/>
          <w:bCs/>
          <w:sz w:val="32"/>
          <w:szCs w:val="32"/>
          <w:highlight w:val="none"/>
          <w:shd w:val="clear" w:color="auto" w:fill="FFFFFF"/>
          <w:lang w:val="en-US" w:eastAsia="zh-CN"/>
        </w:rPr>
        <w:t>资产租赁合同</w:t>
      </w:r>
      <w:r>
        <w:rPr>
          <w:rFonts w:hint="eastAsia" w:ascii="方正仿宋_GBK" w:hAnsi="方正仿宋_GBK" w:eastAsia="方正仿宋_GBK" w:cs="方正仿宋_GBK"/>
          <w:bCs/>
          <w:sz w:val="32"/>
          <w:szCs w:val="32"/>
          <w:highlight w:val="none"/>
          <w:shd w:val="clear" w:color="auto" w:fill="FFFFFF"/>
        </w:rPr>
        <w:t>》，承租人</w:t>
      </w:r>
      <w:r>
        <w:rPr>
          <w:rFonts w:hint="eastAsia" w:ascii="方正仿宋_GBK" w:hAnsi="方正仿宋_GBK" w:eastAsia="方正仿宋_GBK" w:cs="方正仿宋_GBK"/>
          <w:bCs/>
          <w:sz w:val="32"/>
          <w:szCs w:val="32"/>
          <w:highlight w:val="none"/>
          <w:shd w:val="clear" w:color="auto" w:fill="FFFFFF"/>
          <w:lang w:val="en-US" w:eastAsia="zh-CN"/>
        </w:rPr>
        <w:t>按</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资产租赁合同</w:t>
      </w:r>
      <w:r>
        <w:rPr>
          <w:rFonts w:hint="eastAsia" w:ascii="方正仿宋_GBK" w:hAnsi="方正仿宋_GBK" w:eastAsia="方正仿宋_GBK" w:cs="方正仿宋_GBK"/>
          <w:bCs/>
          <w:sz w:val="32"/>
          <w:szCs w:val="32"/>
          <w:highlight w:val="none"/>
          <w:shd w:val="clear" w:color="auto" w:fill="FFFFFF"/>
        </w:rPr>
        <w:t>》</w:t>
      </w:r>
      <w:r>
        <w:rPr>
          <w:rFonts w:hint="eastAsia" w:ascii="方正仿宋_GBK" w:hAnsi="方正仿宋_GBK" w:eastAsia="方正仿宋_GBK" w:cs="方正仿宋_GBK"/>
          <w:bCs/>
          <w:sz w:val="32"/>
          <w:szCs w:val="32"/>
          <w:highlight w:val="none"/>
          <w:shd w:val="clear" w:color="auto" w:fill="FFFFFF"/>
          <w:lang w:val="en-US" w:eastAsia="zh-CN"/>
        </w:rPr>
        <w:t>约定</w:t>
      </w:r>
      <w:r>
        <w:rPr>
          <w:rFonts w:hint="eastAsia" w:ascii="方正仿宋_GBK" w:hAnsi="方正仿宋_GBK" w:eastAsia="方正仿宋_GBK" w:cs="方正仿宋_GBK"/>
          <w:bCs/>
          <w:sz w:val="32"/>
          <w:szCs w:val="32"/>
          <w:highlight w:val="none"/>
          <w:shd w:val="clear" w:color="auto" w:fill="FFFFFF"/>
        </w:rPr>
        <w:t>一次性向出租方指定账户支付全部交易价款。</w:t>
      </w:r>
    </w:p>
    <w:p w14:paraId="0864BC04">
      <w:pPr>
        <w:keepNext w:val="0"/>
        <w:keepLines w:val="0"/>
        <w:widowControl w:val="0"/>
        <w:suppressLineNumbers w:val="0"/>
        <w:spacing w:before="0" w:beforeAutospacing="1" w:after="0" w:afterAutospacing="1" w:line="460" w:lineRule="exact"/>
        <w:ind w:left="0" w:right="0" w:firstLine="643" w:firstLineChars="200"/>
        <w:jc w:val="left"/>
        <w:rPr>
          <w:rFonts w:hint="default" w:ascii="仿宋_GB2312" w:eastAsia="仿宋_GB2312" w:cs="仿宋_GB2312" w:hAnsiTheme="minorHAnsi"/>
          <w:kern w:val="2"/>
          <w:sz w:val="32"/>
          <w:szCs w:val="32"/>
          <w:highlight w:val="none"/>
          <w:lang w:val="en-US" w:eastAsia="zh-CN" w:bidi="ar"/>
        </w:rPr>
      </w:pPr>
      <w:r>
        <w:rPr>
          <w:rFonts w:hint="default" w:ascii="仿宋_GB2312" w:eastAsia="仿宋_GB2312" w:cs="仿宋_GB2312" w:hAnsiTheme="minorHAnsi"/>
          <w:b/>
          <w:bCs/>
          <w:kern w:val="2"/>
          <w:sz w:val="32"/>
          <w:szCs w:val="32"/>
          <w:highlight w:val="none"/>
          <w:lang w:val="en-US" w:eastAsia="zh-CN" w:bidi="ar"/>
        </w:rPr>
        <w:t>此</w:t>
      </w:r>
      <w:r>
        <w:rPr>
          <w:rFonts w:hint="eastAsia" w:ascii="仿宋_GB2312" w:eastAsia="仿宋_GB2312" w:cs="仿宋_GB2312"/>
          <w:b/>
          <w:bCs/>
          <w:kern w:val="2"/>
          <w:sz w:val="32"/>
          <w:szCs w:val="32"/>
          <w:highlight w:val="none"/>
          <w:lang w:val="en-US" w:eastAsia="zh-CN" w:bidi="ar"/>
        </w:rPr>
        <w:t>方案</w:t>
      </w:r>
      <w:r>
        <w:rPr>
          <w:rFonts w:hint="default" w:ascii="仿宋_GB2312" w:eastAsia="仿宋_GB2312" w:cs="仿宋_GB2312" w:hAnsiTheme="minorHAnsi"/>
          <w:b/>
          <w:bCs/>
          <w:kern w:val="2"/>
          <w:sz w:val="32"/>
          <w:szCs w:val="32"/>
          <w:highlight w:val="none"/>
          <w:lang w:val="en-US" w:eastAsia="zh-CN" w:bidi="ar"/>
        </w:rPr>
        <w:t>须正反面打印，并加盖骑缝章。</w:t>
      </w:r>
    </w:p>
    <w:p w14:paraId="57781EA4">
      <w:pPr>
        <w:keepNext w:val="0"/>
        <w:keepLines w:val="0"/>
        <w:widowControl w:val="0"/>
        <w:suppressLineNumbers w:val="0"/>
        <w:spacing w:before="0" w:beforeAutospacing="1" w:after="0" w:afterAutospacing="1" w:line="460" w:lineRule="exact"/>
        <w:ind w:left="0" w:right="0" w:rightChars="0" w:firstLine="3520" w:firstLineChars="1100"/>
        <w:jc w:val="left"/>
        <w:rPr>
          <w:sz w:val="21"/>
          <w:szCs w:val="21"/>
          <w:highlight w:val="none"/>
        </w:rPr>
      </w:pPr>
      <w:r>
        <w:rPr>
          <w:rFonts w:hint="default" w:ascii="仿宋_GB2312" w:eastAsia="仿宋_GB2312" w:cs="仿宋_GB2312" w:hAnsiTheme="minorHAnsi"/>
          <w:kern w:val="2"/>
          <w:sz w:val="32"/>
          <w:szCs w:val="32"/>
          <w:highlight w:val="none"/>
          <w:lang w:val="en-US" w:eastAsia="zh-CN" w:bidi="ar"/>
        </w:rPr>
        <w:t xml:space="preserve"> </w:t>
      </w:r>
      <w:r>
        <w:rPr>
          <w:rFonts w:hint="eastAsia" w:ascii="仿宋_GB2312" w:eastAsia="仿宋_GB2312" w:cs="仿宋_GB2312"/>
          <w:kern w:val="2"/>
          <w:sz w:val="32"/>
          <w:szCs w:val="32"/>
          <w:highlight w:val="none"/>
          <w:lang w:val="en-US" w:eastAsia="zh-CN" w:bidi="ar"/>
        </w:rPr>
        <w:t xml:space="preserve">     </w:t>
      </w:r>
      <w:r>
        <w:rPr>
          <w:rFonts w:hint="default" w:ascii="仿宋_GB2312" w:eastAsia="仿宋_GB2312" w:cs="仿宋_GB2312" w:hAnsiTheme="minorHAnsi"/>
          <w:kern w:val="2"/>
          <w:sz w:val="32"/>
          <w:szCs w:val="32"/>
          <w:highlight w:val="none"/>
          <w:lang w:val="en-US" w:eastAsia="zh-CN" w:bidi="ar"/>
        </w:rPr>
        <w:t>出租方（签章）：</w:t>
      </w:r>
    </w:p>
    <w:p w14:paraId="0F54055D">
      <w:pPr>
        <w:rPr>
          <w:highlight w:val="none"/>
        </w:rPr>
      </w:pPr>
      <w:r>
        <w:rPr>
          <w:rFonts w:hint="default" w:ascii="仿宋_GB2312" w:eastAsia="仿宋_GB2312" w:cs="仿宋_GB2312" w:hAnsiTheme="minorHAnsi"/>
          <w:kern w:val="2"/>
          <w:sz w:val="32"/>
          <w:szCs w:val="32"/>
          <w:highlight w:val="none"/>
          <w:lang w:val="en-US" w:eastAsia="zh-CN" w:bidi="ar"/>
        </w:rPr>
        <w:t xml:space="preserve">                               年   月   日</w:t>
      </w:r>
    </w:p>
    <w:sectPr>
      <w:pgSz w:w="11906" w:h="16838"/>
      <w:pgMar w:top="1020" w:right="1800" w:bottom="102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07058"/>
    <w:rsid w:val="0DEB18FB"/>
    <w:rsid w:val="15A70E9E"/>
    <w:rsid w:val="15F31A42"/>
    <w:rsid w:val="1B13287A"/>
    <w:rsid w:val="1DEA7A86"/>
    <w:rsid w:val="22363C11"/>
    <w:rsid w:val="249D68C6"/>
    <w:rsid w:val="25146B9A"/>
    <w:rsid w:val="2C843F3D"/>
    <w:rsid w:val="3E4653F0"/>
    <w:rsid w:val="431437F4"/>
    <w:rsid w:val="43FF4A32"/>
    <w:rsid w:val="46112101"/>
    <w:rsid w:val="4803631A"/>
    <w:rsid w:val="4AB259CE"/>
    <w:rsid w:val="4D971D5B"/>
    <w:rsid w:val="539B439B"/>
    <w:rsid w:val="64A01811"/>
    <w:rsid w:val="68D722DD"/>
    <w:rsid w:val="696B4310"/>
    <w:rsid w:val="6E300180"/>
    <w:rsid w:val="71E973CD"/>
    <w:rsid w:val="730219CA"/>
    <w:rsid w:val="74E24D66"/>
    <w:rsid w:val="76B856E7"/>
    <w:rsid w:val="7A0836CB"/>
    <w:rsid w:val="7B010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2025-12-15T04:23:00Z</dcterms:created>
  <dc:creator>交易中心</dc:creator>
  <cp:lastModifiedBy>交易中心</cp:lastModifiedBy>
  <dcterms:modified xsi:type="dcterms:W3CDTF">2026-07-22T04:38:24Z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DEAC4CD178684C34B5B47DE23929D49E_12</vt:lpwstr>
  </property>
</Properties>
</file>